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6CEC0" w14:textId="2566ACAC" w:rsidR="00045A71" w:rsidRDefault="00045A71" w:rsidP="00045A71">
      <w:pPr>
        <w:spacing w:after="0" w:line="240" w:lineRule="auto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6EFB083D" wp14:editId="09BDCFBD">
            <wp:extent cx="957580" cy="296280"/>
            <wp:effectExtent l="0" t="0" r="0" b="8890"/>
            <wp:docPr id="169082990" name="Picture 1" descr="lcc40mm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3" t="8589" r="3503" b="8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29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9142F" w14:textId="7330B911" w:rsidR="003452D1" w:rsidRDefault="00686050" w:rsidP="00045A7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65539E">
        <w:rPr>
          <w:b/>
          <w:bCs/>
          <w:sz w:val="24"/>
          <w:szCs w:val="24"/>
        </w:rPr>
        <w:t>8 January</w:t>
      </w:r>
      <w:r w:rsidR="003452D1">
        <w:rPr>
          <w:b/>
          <w:bCs/>
          <w:sz w:val="24"/>
          <w:szCs w:val="24"/>
        </w:rPr>
        <w:t xml:space="preserve"> 202</w:t>
      </w:r>
      <w:r w:rsidR="0065539E">
        <w:rPr>
          <w:b/>
          <w:bCs/>
          <w:sz w:val="24"/>
          <w:szCs w:val="24"/>
        </w:rPr>
        <w:t>5</w:t>
      </w:r>
    </w:p>
    <w:p w14:paraId="5A7B9A91" w14:textId="181FB923" w:rsidR="00445DAD" w:rsidRPr="00045A71" w:rsidRDefault="00045A71" w:rsidP="00045A71">
      <w:pPr>
        <w:spacing w:after="0" w:line="240" w:lineRule="auto"/>
        <w:rPr>
          <w:b/>
          <w:bCs/>
          <w:sz w:val="24"/>
          <w:szCs w:val="24"/>
        </w:rPr>
      </w:pPr>
      <w:r w:rsidRPr="00045A71">
        <w:rPr>
          <w:b/>
          <w:bCs/>
          <w:sz w:val="24"/>
          <w:szCs w:val="24"/>
        </w:rPr>
        <w:t>No Recourse to Public Funds</w:t>
      </w:r>
      <w:r w:rsidR="00861DAA">
        <w:rPr>
          <w:b/>
          <w:bCs/>
          <w:sz w:val="24"/>
          <w:szCs w:val="24"/>
        </w:rPr>
        <w:t xml:space="preserve"> (NRPF)</w:t>
      </w:r>
    </w:p>
    <w:p w14:paraId="12DA1720" w14:textId="33233564" w:rsidR="00045A71" w:rsidRPr="004F3D00" w:rsidRDefault="004F3D00" w:rsidP="00861DAA">
      <w:pPr>
        <w:rPr>
          <w:color w:val="C00000"/>
        </w:rPr>
      </w:pPr>
      <w:r w:rsidRPr="00861DAA">
        <w:rPr>
          <w:rFonts w:ascii="Calibri" w:hAnsi="Calibri" w:cs="Calibri"/>
          <w:color w:val="242424"/>
          <w:shd w:val="clear" w:color="auto" w:fill="FFFFFF"/>
        </w:rPr>
        <w:t xml:space="preserve">Leeds City Council currently provides a range of support to people who are NRPF from welfare support through to provision under the Children Act 1989 and Care Act 2014. </w:t>
      </w:r>
      <w:r w:rsidR="00861DAA" w:rsidRPr="00861DAA">
        <w:rPr>
          <w:rFonts w:ascii="Calibri" w:hAnsi="Calibri" w:cs="Calibri"/>
          <w:color w:val="242424"/>
          <w:shd w:val="clear" w:color="auto" w:fill="FFFFFF"/>
        </w:rPr>
        <w:t xml:space="preserve">The council </w:t>
      </w:r>
      <w:r w:rsidR="00861DAA">
        <w:rPr>
          <w:rFonts w:ascii="Calibri" w:hAnsi="Calibri" w:cs="Calibri"/>
          <w:color w:val="242424"/>
          <w:shd w:val="clear" w:color="auto" w:fill="FFFFFF"/>
        </w:rPr>
        <w:t xml:space="preserve">is currently working towards becoming an awarded Council of Sanctuary and as part of this commitment, and consistent with </w:t>
      </w:r>
      <w:r w:rsidR="00831DA4">
        <w:rPr>
          <w:rFonts w:ascii="Calibri" w:hAnsi="Calibri" w:cs="Calibri"/>
          <w:color w:val="242424"/>
          <w:shd w:val="clear" w:color="auto" w:fill="FFFFFF"/>
        </w:rPr>
        <w:t xml:space="preserve">our commitment to </w:t>
      </w:r>
      <w:r w:rsidR="00861DAA">
        <w:rPr>
          <w:rFonts w:ascii="Calibri" w:hAnsi="Calibri" w:cs="Calibri"/>
          <w:color w:val="242424"/>
          <w:shd w:val="clear" w:color="auto" w:fill="FFFFFF"/>
        </w:rPr>
        <w:t>being a compassionate city, we aim to establish clear and transparent pathways to support people who have no recourse to public funds (NRPF). As a city we are seeing the impact of people presenting whereby the NRPF condition is creating barriers in gaining access to support. As a council, and in partnership with the third sector, we are keen to ensure we address the implications as effectively and as consistently as possible. </w:t>
      </w:r>
      <w:r w:rsidR="00FE0778">
        <w:t xml:space="preserve">This briefing note informs the Third Sector on </w:t>
      </w:r>
      <w:r w:rsidR="00045A71">
        <w:t xml:space="preserve">Leeds City’s Council’s approach to collaboratively </w:t>
      </w:r>
      <w:r w:rsidR="003452D1">
        <w:t xml:space="preserve">addressing the growing concerns </w:t>
      </w:r>
      <w:r w:rsidR="003F480B">
        <w:t xml:space="preserve">regarding </w:t>
      </w:r>
      <w:r w:rsidR="003452D1">
        <w:t>people who are subject to the n</w:t>
      </w:r>
      <w:r w:rsidR="00045A71">
        <w:t xml:space="preserve">o recourse to public funds </w:t>
      </w:r>
      <w:r w:rsidR="003452D1">
        <w:t xml:space="preserve">condition. </w:t>
      </w:r>
    </w:p>
    <w:p w14:paraId="2FCBA7E3" w14:textId="77777777" w:rsidR="00045A71" w:rsidRDefault="00045A71" w:rsidP="00045A71">
      <w:pPr>
        <w:spacing w:after="0" w:line="240" w:lineRule="auto"/>
        <w:rPr>
          <w:rStyle w:val="e24kjd"/>
          <w:i/>
          <w:iCs/>
          <w:color w:val="222222"/>
        </w:rPr>
      </w:pPr>
      <w:r w:rsidRPr="00045A71">
        <w:rPr>
          <w:rStyle w:val="e24kjd"/>
          <w:color w:val="222222"/>
        </w:rPr>
        <w:t>NRPF is a condition imposed on someone due to their immigration status. Section 115 of the Immigration and Asylum Act 1999 states that a person will have 'No Recourse to Public Funds (NRPF)' if they are</w:t>
      </w:r>
      <w:r w:rsidRPr="00045A71">
        <w:rPr>
          <w:rStyle w:val="e24kjd"/>
          <w:i/>
          <w:iCs/>
          <w:color w:val="222222"/>
        </w:rPr>
        <w:t xml:space="preserve"> 'subject to immigration control'.</w:t>
      </w:r>
    </w:p>
    <w:p w14:paraId="21A30EBC" w14:textId="06CF745F" w:rsidR="00045A71" w:rsidRPr="00045A71" w:rsidRDefault="00045A71" w:rsidP="00045A71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  <w:color w:val="222222"/>
        </w:rPr>
      </w:pPr>
      <w:r w:rsidRPr="00045A71">
        <w:rPr>
          <w:color w:val="000000" w:themeColor="text1"/>
        </w:rPr>
        <w:t>This condition applies to people with the following types of immigration status: leave to enter as a visitor, leave to remain as a spouse, leave to remain as a student, leave to remain granted under family or private life rules and indefinite leave to remain as the adult dependent relative of a person with settled status (where a five-year prohibition on claiming public funds applies). A p</w:t>
      </w:r>
      <w:r w:rsidRPr="00045A71">
        <w:rPr>
          <w:rStyle w:val="e24kjd"/>
          <w:color w:val="222222"/>
        </w:rPr>
        <w:t xml:space="preserve">erson subject to immigration control has no entitlement to most welfare benefits, including income support, housing benefit and a range of allowances and tax credits. People with NRPF are at </w:t>
      </w:r>
      <w:r w:rsidRPr="00045A71">
        <w:rPr>
          <w:color w:val="000000" w:themeColor="text1"/>
        </w:rPr>
        <w:t>higher risk of homelessness and destitution as they cannot access social housing, welfare benefits and in some cases may not be entitled to work.</w:t>
      </w:r>
    </w:p>
    <w:p w14:paraId="77427DFA" w14:textId="77777777" w:rsidR="00045A71" w:rsidRDefault="00045A71" w:rsidP="00045A71">
      <w:pPr>
        <w:spacing w:after="0" w:line="240" w:lineRule="auto"/>
      </w:pPr>
    </w:p>
    <w:p w14:paraId="32A5505D" w14:textId="45A32E5C" w:rsidR="00045A71" w:rsidRDefault="00045A71" w:rsidP="00045A71">
      <w:pPr>
        <w:spacing w:after="0" w:line="240" w:lineRule="auto"/>
      </w:pPr>
      <w:r>
        <w:t xml:space="preserve">There are many reasons why people may have no recourse to public funds, as outlined below. However, cases are individual and there may be different routes to seeking support. </w:t>
      </w:r>
      <w:r w:rsidR="003F480B">
        <w:t xml:space="preserve">Examples include: </w:t>
      </w:r>
    </w:p>
    <w:tbl>
      <w:tblPr>
        <w:tblStyle w:val="TableGrid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830"/>
        <w:gridCol w:w="7655"/>
      </w:tblGrid>
      <w:tr w:rsidR="00045A71" w14:paraId="40A6E1B4" w14:textId="77777777" w:rsidTr="0065539E">
        <w:trPr>
          <w:trHeight w:val="300"/>
        </w:trPr>
        <w:tc>
          <w:tcPr>
            <w:tcW w:w="2830" w:type="dxa"/>
          </w:tcPr>
          <w:p w14:paraId="0B08BCB5" w14:textId="77777777" w:rsidR="00045A71" w:rsidRDefault="00045A71" w:rsidP="00045A71">
            <w:r w:rsidRPr="1CB0490B">
              <w:rPr>
                <w:b/>
                <w:bCs/>
              </w:rPr>
              <w:t>People seeking asylum</w:t>
            </w:r>
          </w:p>
        </w:tc>
        <w:tc>
          <w:tcPr>
            <w:tcW w:w="7655" w:type="dxa"/>
          </w:tcPr>
          <w:p w14:paraId="693C12B7" w14:textId="77777777" w:rsidR="00045A71" w:rsidRDefault="00045A71" w:rsidP="00045A71">
            <w:r>
              <w:t>are supported by the Home Office pending the outcome of their asylum claim.</w:t>
            </w:r>
          </w:p>
        </w:tc>
      </w:tr>
      <w:tr w:rsidR="00045A71" w14:paraId="6B588D3F" w14:textId="77777777" w:rsidTr="0065539E">
        <w:trPr>
          <w:trHeight w:val="300"/>
        </w:trPr>
        <w:tc>
          <w:tcPr>
            <w:tcW w:w="2830" w:type="dxa"/>
          </w:tcPr>
          <w:p w14:paraId="37989DE4" w14:textId="488B59AF" w:rsidR="00045A71" w:rsidRPr="00FE0778" w:rsidRDefault="00045A71" w:rsidP="00045A7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90E058A">
              <w:rPr>
                <w:b/>
                <w:bCs/>
              </w:rPr>
              <w:t>Work Visas including Care Worker visas</w:t>
            </w:r>
          </w:p>
        </w:tc>
        <w:tc>
          <w:tcPr>
            <w:tcW w:w="7655" w:type="dxa"/>
          </w:tcPr>
          <w:p w14:paraId="74EE0C3E" w14:textId="33C57E38" w:rsidR="00045A71" w:rsidRDefault="003F480B" w:rsidP="649B7B5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49B7B5B">
              <w:rPr>
                <w:rFonts w:ascii="Calibri" w:eastAsia="Calibri" w:hAnsi="Calibri" w:cs="Calibri"/>
                <w:color w:val="000000" w:themeColor="text1"/>
              </w:rPr>
              <w:t xml:space="preserve">e.g. </w:t>
            </w:r>
            <w:r w:rsidR="00045A71" w:rsidRPr="649B7B5B">
              <w:rPr>
                <w:rFonts w:ascii="Calibri" w:eastAsia="Calibri" w:hAnsi="Calibri" w:cs="Calibri"/>
                <w:color w:val="000000" w:themeColor="text1"/>
              </w:rPr>
              <w:t xml:space="preserve">between June 2022 and June 2023, almost 78,000 people secured long-term visas to work in the UK social care sector with the NRPF condition attached </w:t>
            </w:r>
          </w:p>
        </w:tc>
      </w:tr>
      <w:tr w:rsidR="00045A71" w14:paraId="6166920D" w14:textId="77777777" w:rsidTr="0065539E">
        <w:trPr>
          <w:trHeight w:val="300"/>
        </w:trPr>
        <w:tc>
          <w:tcPr>
            <w:tcW w:w="2830" w:type="dxa"/>
          </w:tcPr>
          <w:p w14:paraId="3F2FAB4A" w14:textId="77777777" w:rsidR="00045A71" w:rsidRDefault="00045A71" w:rsidP="00045A71">
            <w:r w:rsidRPr="1CB0490B">
              <w:rPr>
                <w:b/>
                <w:bCs/>
              </w:rPr>
              <w:t>Hong Kong British National Overseas Visa</w:t>
            </w:r>
          </w:p>
        </w:tc>
        <w:tc>
          <w:tcPr>
            <w:tcW w:w="7655" w:type="dxa"/>
          </w:tcPr>
          <w:p w14:paraId="22CB0409" w14:textId="16E8516B" w:rsidR="00045A71" w:rsidRDefault="00045A71" w:rsidP="00045A71">
            <w:r>
              <w:t xml:space="preserve">can work or study, including higher education, can use </w:t>
            </w:r>
            <w:r w:rsidR="003F480B">
              <w:t xml:space="preserve">the </w:t>
            </w:r>
            <w:r>
              <w:t>NHS but will not be entitled to other benefits.</w:t>
            </w:r>
          </w:p>
        </w:tc>
      </w:tr>
      <w:tr w:rsidR="00045A71" w14:paraId="5D0C562B" w14:textId="77777777" w:rsidTr="0065539E">
        <w:trPr>
          <w:trHeight w:val="300"/>
        </w:trPr>
        <w:tc>
          <w:tcPr>
            <w:tcW w:w="2830" w:type="dxa"/>
          </w:tcPr>
          <w:p w14:paraId="36FDF32F" w14:textId="77777777" w:rsidR="00045A71" w:rsidRDefault="00045A71" w:rsidP="00045A71">
            <w:r w:rsidRPr="1CB0490B">
              <w:rPr>
                <w:b/>
                <w:bCs/>
              </w:rPr>
              <w:t>EU (European Union) Citizens</w:t>
            </w:r>
          </w:p>
        </w:tc>
        <w:tc>
          <w:tcPr>
            <w:tcW w:w="7655" w:type="dxa"/>
          </w:tcPr>
          <w:p w14:paraId="47673295" w14:textId="77777777" w:rsidR="00045A71" w:rsidRDefault="00045A71" w:rsidP="00045A71">
            <w:r>
              <w:t>following Brexit and the introduction of the new immigration system in January 2021, EU citizens are subject to NRPF.</w:t>
            </w:r>
          </w:p>
        </w:tc>
      </w:tr>
      <w:tr w:rsidR="00045A71" w14:paraId="1E652E94" w14:textId="77777777" w:rsidTr="0065539E">
        <w:trPr>
          <w:trHeight w:val="300"/>
        </w:trPr>
        <w:tc>
          <w:tcPr>
            <w:tcW w:w="2830" w:type="dxa"/>
          </w:tcPr>
          <w:p w14:paraId="3D5299DF" w14:textId="77777777" w:rsidR="00045A71" w:rsidRDefault="00045A71" w:rsidP="00045A71">
            <w:r w:rsidRPr="1CB0490B">
              <w:rPr>
                <w:b/>
                <w:bCs/>
              </w:rPr>
              <w:t>Undocumented</w:t>
            </w:r>
          </w:p>
        </w:tc>
        <w:tc>
          <w:tcPr>
            <w:tcW w:w="7655" w:type="dxa"/>
          </w:tcPr>
          <w:p w14:paraId="24E5C938" w14:textId="77777777" w:rsidR="00045A71" w:rsidRDefault="00045A71" w:rsidP="00045A71">
            <w:pPr>
              <w:rPr>
                <w:highlight w:val="yellow"/>
              </w:rPr>
            </w:pPr>
            <w:r>
              <w:t>where people may have overstayed their visa, or never had status, or are not able to renew status due to costs or other reasons.</w:t>
            </w:r>
          </w:p>
        </w:tc>
      </w:tr>
      <w:tr w:rsidR="00045A71" w14:paraId="13671BC3" w14:textId="77777777" w:rsidTr="0065539E">
        <w:trPr>
          <w:trHeight w:val="300"/>
        </w:trPr>
        <w:tc>
          <w:tcPr>
            <w:tcW w:w="2830" w:type="dxa"/>
          </w:tcPr>
          <w:p w14:paraId="2AB8B750" w14:textId="77777777" w:rsidR="00045A71" w:rsidRDefault="00045A71" w:rsidP="00045A71">
            <w:r w:rsidRPr="1CB0490B">
              <w:rPr>
                <w:b/>
                <w:bCs/>
              </w:rPr>
              <w:t>Spouse visas</w:t>
            </w:r>
          </w:p>
        </w:tc>
        <w:tc>
          <w:tcPr>
            <w:tcW w:w="7655" w:type="dxa"/>
          </w:tcPr>
          <w:p w14:paraId="0B5D3FD9" w14:textId="77777777" w:rsidR="00045A71" w:rsidRDefault="00045A71" w:rsidP="00045A71">
            <w:pPr>
              <w:rPr>
                <w:highlight w:val="yellow"/>
              </w:rPr>
            </w:pPr>
            <w:r>
              <w:t>however, they are entitled to work</w:t>
            </w:r>
          </w:p>
        </w:tc>
      </w:tr>
      <w:tr w:rsidR="00045A71" w14:paraId="0E6D5D70" w14:textId="77777777" w:rsidTr="0065539E">
        <w:trPr>
          <w:trHeight w:val="300"/>
        </w:trPr>
        <w:tc>
          <w:tcPr>
            <w:tcW w:w="2830" w:type="dxa"/>
          </w:tcPr>
          <w:p w14:paraId="75A0B698" w14:textId="77777777" w:rsidR="00045A71" w:rsidRDefault="00045A71" w:rsidP="00045A71">
            <w:r w:rsidRPr="1CB0490B">
              <w:rPr>
                <w:b/>
                <w:bCs/>
              </w:rPr>
              <w:t>International students</w:t>
            </w:r>
          </w:p>
        </w:tc>
        <w:tc>
          <w:tcPr>
            <w:tcW w:w="7655" w:type="dxa"/>
          </w:tcPr>
          <w:p w14:paraId="3189CC3F" w14:textId="4CF3A13A" w:rsidR="00045A71" w:rsidRDefault="00045A71" w:rsidP="00045A71">
            <w:pPr>
              <w:rPr>
                <w:highlight w:val="yellow"/>
              </w:rPr>
            </w:pPr>
            <w:r>
              <w:t xml:space="preserve">however, </w:t>
            </w:r>
            <w:r w:rsidR="003F480B">
              <w:t xml:space="preserve">most </w:t>
            </w:r>
            <w:r>
              <w:t>are entitled to work for 20 hours a week</w:t>
            </w:r>
          </w:p>
        </w:tc>
      </w:tr>
      <w:tr w:rsidR="00045A71" w14:paraId="60E8B417" w14:textId="77777777" w:rsidTr="0065539E">
        <w:trPr>
          <w:trHeight w:val="300"/>
        </w:trPr>
        <w:tc>
          <w:tcPr>
            <w:tcW w:w="2830" w:type="dxa"/>
          </w:tcPr>
          <w:p w14:paraId="14A64F48" w14:textId="77777777" w:rsidR="00045A71" w:rsidRDefault="00045A71" w:rsidP="00045A71">
            <w:r w:rsidRPr="1CB0490B">
              <w:rPr>
                <w:b/>
                <w:bCs/>
              </w:rPr>
              <w:t>Family visa route</w:t>
            </w:r>
          </w:p>
        </w:tc>
        <w:tc>
          <w:tcPr>
            <w:tcW w:w="7655" w:type="dxa"/>
          </w:tcPr>
          <w:p w14:paraId="4B3C3C78" w14:textId="003B4A91" w:rsidR="00045A71" w:rsidRDefault="00045A71" w:rsidP="00045A71">
            <w:pPr>
              <w:rPr>
                <w:highlight w:val="yellow"/>
              </w:rPr>
            </w:pPr>
            <w:r>
              <w:t>usually</w:t>
            </w:r>
            <w:r w:rsidR="003F480B">
              <w:t xml:space="preserve"> a partner</w:t>
            </w:r>
            <w:r>
              <w:t>, dependent</w:t>
            </w:r>
            <w:r w:rsidR="003F480B">
              <w:t>/</w:t>
            </w:r>
            <w:r>
              <w:t xml:space="preserve">s including children or elderly parents  </w:t>
            </w:r>
          </w:p>
        </w:tc>
      </w:tr>
      <w:tr w:rsidR="00045A71" w14:paraId="708E1D41" w14:textId="77777777" w:rsidTr="0065539E">
        <w:trPr>
          <w:trHeight w:val="300"/>
        </w:trPr>
        <w:tc>
          <w:tcPr>
            <w:tcW w:w="2830" w:type="dxa"/>
          </w:tcPr>
          <w:p w14:paraId="5A51B0CB" w14:textId="77777777" w:rsidR="00045A71" w:rsidRDefault="00045A71" w:rsidP="00045A71">
            <w:r w:rsidRPr="1CB0490B">
              <w:rPr>
                <w:b/>
                <w:bCs/>
              </w:rPr>
              <w:t>Leave to enter or remain that is subject to maintenance undertaking</w:t>
            </w:r>
          </w:p>
        </w:tc>
        <w:tc>
          <w:tcPr>
            <w:tcW w:w="7655" w:type="dxa"/>
          </w:tcPr>
          <w:p w14:paraId="0AF83ECE" w14:textId="77777777" w:rsidR="00045A71" w:rsidRDefault="00045A71" w:rsidP="00045A71">
            <w:pPr>
              <w:rPr>
                <w:highlight w:val="yellow"/>
              </w:rPr>
            </w:pPr>
            <w:r>
              <w:t>applies if a person acted as a sponsor for a person’s immigration application and signed an agreement to provide that person with accommodation and financial support whilst they are in the UK.</w:t>
            </w:r>
          </w:p>
        </w:tc>
      </w:tr>
      <w:tr w:rsidR="00045A71" w14:paraId="2F8EE28C" w14:textId="77777777" w:rsidTr="0065539E">
        <w:trPr>
          <w:trHeight w:val="300"/>
        </w:trPr>
        <w:tc>
          <w:tcPr>
            <w:tcW w:w="2830" w:type="dxa"/>
          </w:tcPr>
          <w:p w14:paraId="17053E34" w14:textId="77777777" w:rsidR="00045A71" w:rsidRDefault="00045A71" w:rsidP="00045A71">
            <w:r w:rsidRPr="1CB0490B">
              <w:rPr>
                <w:b/>
                <w:bCs/>
              </w:rPr>
              <w:t>Foreign rough sleepers</w:t>
            </w:r>
          </w:p>
        </w:tc>
        <w:tc>
          <w:tcPr>
            <w:tcW w:w="7655" w:type="dxa"/>
          </w:tcPr>
          <w:p w14:paraId="3F300078" w14:textId="77777777" w:rsidR="00045A71" w:rsidRDefault="00045A71" w:rsidP="00045A71">
            <w:pPr>
              <w:rPr>
                <w:highlight w:val="yellow"/>
              </w:rPr>
            </w:pPr>
            <w:r>
              <w:t>could be any of the above</w:t>
            </w:r>
          </w:p>
        </w:tc>
      </w:tr>
      <w:tr w:rsidR="00045A71" w14:paraId="3A5DF241" w14:textId="77777777" w:rsidTr="0065539E">
        <w:trPr>
          <w:trHeight w:val="300"/>
        </w:trPr>
        <w:tc>
          <w:tcPr>
            <w:tcW w:w="2830" w:type="dxa"/>
          </w:tcPr>
          <w:p w14:paraId="1795DE5E" w14:textId="77777777" w:rsidR="00045A71" w:rsidRDefault="00045A71" w:rsidP="005806B9">
            <w:pPr>
              <w:rPr>
                <w:highlight w:val="yellow"/>
              </w:rPr>
            </w:pPr>
            <w:r w:rsidRPr="1CB0490B">
              <w:rPr>
                <w:b/>
                <w:bCs/>
              </w:rPr>
              <w:t>Windrush</w:t>
            </w:r>
          </w:p>
        </w:tc>
        <w:tc>
          <w:tcPr>
            <w:tcW w:w="7655" w:type="dxa"/>
          </w:tcPr>
          <w:p w14:paraId="6B8076E4" w14:textId="77777777" w:rsidR="00045A71" w:rsidRDefault="00045A71" w:rsidP="005806B9">
            <w:pPr>
              <w:rPr>
                <w:b/>
                <w:bCs/>
              </w:rPr>
            </w:pPr>
            <w:r>
              <w:t>some people have lived in the UK for a long time and may be lawfully present but cannot prove their immigration status</w:t>
            </w:r>
          </w:p>
        </w:tc>
      </w:tr>
      <w:tr w:rsidR="0065539E" w14:paraId="5D41D72B" w14:textId="77777777" w:rsidTr="0065539E">
        <w:trPr>
          <w:trHeight w:val="300"/>
        </w:trPr>
        <w:tc>
          <w:tcPr>
            <w:tcW w:w="2830" w:type="dxa"/>
          </w:tcPr>
          <w:p w14:paraId="1DED1C8A" w14:textId="1744F602" w:rsidR="0065539E" w:rsidRPr="1CB0490B" w:rsidRDefault="0065539E" w:rsidP="005806B9">
            <w:pPr>
              <w:rPr>
                <w:b/>
                <w:bCs/>
              </w:rPr>
            </w:pPr>
            <w:r w:rsidRPr="681258B5">
              <w:rPr>
                <w:b/>
                <w:bCs/>
              </w:rPr>
              <w:t>Returning British Nationals</w:t>
            </w:r>
            <w:r>
              <w:t xml:space="preserve"> </w:t>
            </w:r>
          </w:p>
        </w:tc>
        <w:tc>
          <w:tcPr>
            <w:tcW w:w="7655" w:type="dxa"/>
          </w:tcPr>
          <w:p w14:paraId="2C6C994D" w14:textId="29D12ADA" w:rsidR="0065539E" w:rsidRDefault="0065539E" w:rsidP="005806B9">
            <w:r>
              <w:t>People who have lived abroad for a considerable time are subject to habitual residency test, as a result they are excluded from claiming public funds</w:t>
            </w:r>
          </w:p>
        </w:tc>
      </w:tr>
    </w:tbl>
    <w:p w14:paraId="449F69A9" w14:textId="77777777" w:rsidR="00045A71" w:rsidRDefault="00045A71" w:rsidP="005806B9">
      <w:pPr>
        <w:spacing w:after="0" w:line="240" w:lineRule="auto"/>
      </w:pPr>
    </w:p>
    <w:p w14:paraId="13FF3AAD" w14:textId="7A7CB792" w:rsidR="003452D1" w:rsidRDefault="0065539E" w:rsidP="005806B9">
      <w:pPr>
        <w:jc w:val="both"/>
        <w:rPr>
          <w:rFonts w:eastAsia="Times New Roman" w:cstheme="minorHAnsi"/>
          <w:lang w:eastAsia="en-GB"/>
        </w:rPr>
      </w:pPr>
      <w:r>
        <w:t>A</w:t>
      </w:r>
      <w:r w:rsidR="003452D1">
        <w:t xml:space="preserve"> </w:t>
      </w:r>
      <w:r w:rsidR="008D2A78">
        <w:rPr>
          <w:rFonts w:eastAsia="Times New Roman" w:cstheme="minorHAnsi"/>
          <w:lang w:eastAsia="en-GB"/>
        </w:rPr>
        <w:t xml:space="preserve">NRPF </w:t>
      </w:r>
      <w:r w:rsidR="003452D1" w:rsidRPr="000E1EB0">
        <w:rPr>
          <w:rFonts w:eastAsia="Times New Roman" w:cstheme="minorHAnsi"/>
          <w:lang w:eastAsia="en-GB"/>
        </w:rPr>
        <w:t>Task and Finish Group</w:t>
      </w:r>
      <w:r>
        <w:rPr>
          <w:rFonts w:eastAsia="Times New Roman" w:cstheme="minorHAnsi"/>
          <w:lang w:eastAsia="en-GB"/>
        </w:rPr>
        <w:t xml:space="preserve"> has been convened, </w:t>
      </w:r>
      <w:r w:rsidR="003452D1">
        <w:rPr>
          <w:rFonts w:eastAsia="Times New Roman" w:cstheme="minorHAnsi"/>
          <w:lang w:eastAsia="en-GB"/>
        </w:rPr>
        <w:t>initially involv</w:t>
      </w:r>
      <w:r>
        <w:rPr>
          <w:rFonts w:eastAsia="Times New Roman" w:cstheme="minorHAnsi"/>
          <w:lang w:eastAsia="en-GB"/>
        </w:rPr>
        <w:t>ing</w:t>
      </w:r>
      <w:r w:rsidR="003452D1">
        <w:rPr>
          <w:rFonts w:eastAsia="Times New Roman" w:cstheme="minorHAnsi"/>
          <w:lang w:eastAsia="en-GB"/>
        </w:rPr>
        <w:t xml:space="preserve"> key </w:t>
      </w:r>
      <w:r w:rsidR="00805F63">
        <w:rPr>
          <w:rFonts w:eastAsia="Times New Roman" w:cstheme="minorHAnsi"/>
          <w:lang w:eastAsia="en-GB"/>
        </w:rPr>
        <w:t xml:space="preserve">council </w:t>
      </w:r>
      <w:r w:rsidR="003452D1">
        <w:rPr>
          <w:rFonts w:eastAsia="Times New Roman" w:cstheme="minorHAnsi"/>
          <w:lang w:eastAsia="en-GB"/>
        </w:rPr>
        <w:t xml:space="preserve">services to </w:t>
      </w:r>
      <w:r w:rsidR="00805F63">
        <w:rPr>
          <w:rFonts w:eastAsia="Times New Roman" w:cstheme="minorHAnsi"/>
          <w:lang w:eastAsia="en-GB"/>
        </w:rPr>
        <w:t xml:space="preserve">better understand and coordinate our response and support to families and </w:t>
      </w:r>
      <w:r w:rsidR="003452D1">
        <w:rPr>
          <w:rFonts w:eastAsia="Times New Roman" w:cstheme="minorHAnsi"/>
          <w:lang w:eastAsia="en-GB"/>
        </w:rPr>
        <w:t xml:space="preserve">individuals </w:t>
      </w:r>
      <w:r w:rsidR="008D2A78">
        <w:rPr>
          <w:rFonts w:eastAsia="Times New Roman" w:cstheme="minorHAnsi"/>
          <w:lang w:eastAsia="en-GB"/>
        </w:rPr>
        <w:t xml:space="preserve">to </w:t>
      </w:r>
      <w:r w:rsidR="003452D1">
        <w:rPr>
          <w:rFonts w:eastAsia="Times New Roman" w:cstheme="minorHAnsi"/>
          <w:lang w:eastAsia="en-GB"/>
        </w:rPr>
        <w:t>maximis</w:t>
      </w:r>
      <w:r w:rsidR="008D2A78">
        <w:rPr>
          <w:rFonts w:eastAsia="Times New Roman" w:cstheme="minorHAnsi"/>
          <w:lang w:eastAsia="en-GB"/>
        </w:rPr>
        <w:t xml:space="preserve">e </w:t>
      </w:r>
      <w:r w:rsidR="003452D1">
        <w:rPr>
          <w:rFonts w:eastAsia="Times New Roman" w:cstheme="minorHAnsi"/>
          <w:lang w:eastAsia="en-GB"/>
        </w:rPr>
        <w:t>our mutual collective resources</w:t>
      </w:r>
      <w:r w:rsidR="005806B9">
        <w:rPr>
          <w:rFonts w:eastAsia="Times New Roman" w:cstheme="minorHAnsi"/>
          <w:lang w:eastAsia="en-GB"/>
        </w:rPr>
        <w:t xml:space="preserve">, this will then be widened to </w:t>
      </w:r>
      <w:r w:rsidR="008D2A78">
        <w:rPr>
          <w:rFonts w:eastAsia="Times New Roman" w:cstheme="minorHAnsi"/>
          <w:lang w:eastAsia="en-GB"/>
        </w:rPr>
        <w:t xml:space="preserve">key </w:t>
      </w:r>
      <w:r w:rsidR="005806B9">
        <w:rPr>
          <w:rFonts w:eastAsia="Times New Roman" w:cstheme="minorHAnsi"/>
          <w:lang w:eastAsia="en-GB"/>
        </w:rPr>
        <w:t xml:space="preserve">partners including Third Sector, </w:t>
      </w:r>
      <w:r w:rsidR="003452D1">
        <w:rPr>
          <w:rFonts w:eastAsia="Times New Roman" w:cstheme="minorHAnsi"/>
          <w:lang w:eastAsia="en-GB"/>
        </w:rPr>
        <w:t>West Yorkshire Police</w:t>
      </w:r>
      <w:r w:rsidR="008D2A78">
        <w:rPr>
          <w:rFonts w:eastAsia="Times New Roman" w:cstheme="minorHAnsi"/>
          <w:lang w:eastAsia="en-GB"/>
        </w:rPr>
        <w:t xml:space="preserve"> </w:t>
      </w:r>
      <w:r w:rsidR="003452D1">
        <w:rPr>
          <w:rFonts w:eastAsia="Times New Roman" w:cstheme="minorHAnsi"/>
          <w:lang w:eastAsia="en-GB"/>
        </w:rPr>
        <w:t>and others.</w:t>
      </w:r>
    </w:p>
    <w:p w14:paraId="62787C2F" w14:textId="45538DEB" w:rsidR="005806B9" w:rsidRDefault="008D2A78" w:rsidP="005806B9">
      <w:pPr>
        <w:jc w:val="both"/>
        <w:rPr>
          <w:rFonts w:eastAsia="Times New Roman" w:cstheme="minorHAnsi"/>
          <w:lang w:eastAsia="en-GB"/>
        </w:rPr>
      </w:pPr>
      <w:r>
        <w:rPr>
          <w:rFonts w:eastAsia="Times New Roman"/>
          <w:lang w:eastAsia="en-GB"/>
        </w:rPr>
        <w:t xml:space="preserve">The </w:t>
      </w:r>
      <w:r w:rsidR="3EFA3B62" w:rsidRPr="649B7B5B">
        <w:rPr>
          <w:rFonts w:eastAsia="Times New Roman"/>
          <w:lang w:eastAsia="en-GB"/>
        </w:rPr>
        <w:t xml:space="preserve">Leeds Strategic Migration Board </w:t>
      </w:r>
      <w:r>
        <w:rPr>
          <w:rFonts w:eastAsia="Times New Roman"/>
          <w:lang w:eastAsia="en-GB"/>
        </w:rPr>
        <w:t>(LSMB)</w:t>
      </w:r>
      <w:r w:rsidR="00831DA4">
        <w:rPr>
          <w:rFonts w:eastAsia="Times New Roman"/>
          <w:lang w:eastAsia="en-GB"/>
        </w:rPr>
        <w:t>,</w:t>
      </w:r>
      <w:r>
        <w:rPr>
          <w:rFonts w:eastAsia="Times New Roman"/>
          <w:lang w:eastAsia="en-GB"/>
        </w:rPr>
        <w:t xml:space="preserve"> </w:t>
      </w:r>
      <w:r w:rsidR="3EFA3B62" w:rsidRPr="649B7B5B">
        <w:rPr>
          <w:rFonts w:eastAsia="Times New Roman"/>
          <w:lang w:eastAsia="en-GB"/>
        </w:rPr>
        <w:t>chaired by the Chief Officer for Safer Stronger Communities</w:t>
      </w:r>
      <w:r w:rsidR="00831DA4">
        <w:rPr>
          <w:rFonts w:eastAsia="Times New Roman"/>
          <w:lang w:eastAsia="en-GB"/>
        </w:rPr>
        <w:t xml:space="preserve">, </w:t>
      </w:r>
      <w:r>
        <w:rPr>
          <w:rFonts w:eastAsia="Times New Roman"/>
          <w:lang w:eastAsia="en-GB"/>
        </w:rPr>
        <w:t>is the governance arrangement</w:t>
      </w:r>
      <w:r w:rsidR="00805F63">
        <w:rPr>
          <w:rFonts w:eastAsia="Times New Roman"/>
          <w:lang w:eastAsia="en-GB"/>
        </w:rPr>
        <w:t xml:space="preserve"> that is overseeing this area of work. </w:t>
      </w:r>
      <w:r>
        <w:rPr>
          <w:rFonts w:eastAsia="Times New Roman"/>
          <w:lang w:eastAsia="en-GB"/>
        </w:rPr>
        <w:t>In Dec</w:t>
      </w:r>
      <w:r w:rsidR="004A2299">
        <w:rPr>
          <w:rFonts w:eastAsia="Times New Roman"/>
          <w:lang w:eastAsia="en-GB"/>
        </w:rPr>
        <w:t>ember</w:t>
      </w:r>
      <w:r>
        <w:rPr>
          <w:rFonts w:eastAsia="Times New Roman" w:cstheme="minorHAnsi"/>
          <w:lang w:eastAsia="en-GB"/>
        </w:rPr>
        <w:t xml:space="preserve"> 2024</w:t>
      </w:r>
      <w:r w:rsidR="00F91ED9">
        <w:rPr>
          <w:rFonts w:eastAsia="Times New Roman" w:cstheme="minorHAnsi"/>
          <w:lang w:eastAsia="en-GB"/>
        </w:rPr>
        <w:t xml:space="preserve">, </w:t>
      </w:r>
      <w:r>
        <w:rPr>
          <w:rFonts w:eastAsia="Times New Roman" w:cstheme="minorHAnsi"/>
          <w:lang w:eastAsia="en-GB"/>
        </w:rPr>
        <w:t xml:space="preserve">LSMB received a </w:t>
      </w:r>
      <w:r w:rsidR="00B7643D">
        <w:rPr>
          <w:rFonts w:eastAsia="Times New Roman" w:cstheme="minorHAnsi"/>
          <w:lang w:eastAsia="en-GB"/>
        </w:rPr>
        <w:t xml:space="preserve">progress </w:t>
      </w:r>
      <w:r>
        <w:rPr>
          <w:rFonts w:eastAsia="Times New Roman" w:cstheme="minorHAnsi"/>
          <w:lang w:eastAsia="en-GB"/>
        </w:rPr>
        <w:t xml:space="preserve">update </w:t>
      </w:r>
      <w:r w:rsidR="0065539E">
        <w:rPr>
          <w:rFonts w:eastAsia="Times New Roman" w:cstheme="minorHAnsi"/>
          <w:lang w:eastAsia="en-GB"/>
        </w:rPr>
        <w:t xml:space="preserve">with further action to develop </w:t>
      </w:r>
      <w:r w:rsidR="00805F63">
        <w:rPr>
          <w:rFonts w:eastAsia="Times New Roman" w:cstheme="minorHAnsi"/>
          <w:lang w:eastAsia="en-GB"/>
        </w:rPr>
        <w:t xml:space="preserve">a suitable and realistic model of delivery for consideration. </w:t>
      </w:r>
      <w:r w:rsidR="004A2299">
        <w:rPr>
          <w:rFonts w:eastAsia="Times New Roman" w:cstheme="minorHAnsi"/>
          <w:lang w:eastAsia="en-GB"/>
        </w:rPr>
        <w:t xml:space="preserve">This work is now progressing. </w:t>
      </w:r>
    </w:p>
    <w:p w14:paraId="3B4C6A05" w14:textId="3EE91868" w:rsidR="003452D1" w:rsidRPr="00B7643D" w:rsidRDefault="10EE7224" w:rsidP="649B7B5B">
      <w:pPr>
        <w:jc w:val="both"/>
        <w:rPr>
          <w:rFonts w:eastAsia="Times New Roman"/>
          <w:lang w:eastAsia="en-GB"/>
        </w:rPr>
      </w:pPr>
      <w:r w:rsidRPr="649B7B5B">
        <w:rPr>
          <w:rFonts w:eastAsia="Times New Roman"/>
          <w:lang w:eastAsia="en-GB"/>
        </w:rPr>
        <w:t>For more information</w:t>
      </w:r>
      <w:r w:rsidR="1EDA8C2B" w:rsidRPr="649B7B5B">
        <w:rPr>
          <w:rFonts w:eastAsia="Times New Roman"/>
          <w:lang w:eastAsia="en-GB"/>
        </w:rPr>
        <w:t>,</w:t>
      </w:r>
      <w:r w:rsidRPr="649B7B5B">
        <w:rPr>
          <w:rFonts w:eastAsia="Times New Roman"/>
          <w:lang w:eastAsia="en-GB"/>
        </w:rPr>
        <w:t xml:space="preserve"> please contact Pria Bhabra, Migration Programme Manager </w:t>
      </w:r>
      <w:hyperlink r:id="rId9">
        <w:r w:rsidRPr="649B7B5B">
          <w:rPr>
            <w:rStyle w:val="Hyperlink"/>
            <w:rFonts w:eastAsia="Times New Roman"/>
            <w:lang w:eastAsia="en-GB"/>
          </w:rPr>
          <w:t>pria.bhabra@leeds.gov.uk</w:t>
        </w:r>
      </w:hyperlink>
      <w:r w:rsidRPr="649B7B5B">
        <w:rPr>
          <w:rFonts w:eastAsia="Times New Roman"/>
          <w:lang w:eastAsia="en-GB"/>
        </w:rPr>
        <w:t xml:space="preserve"> and Samantha Powell, Third Sector and Migration Partnerships Manager </w:t>
      </w:r>
      <w:hyperlink r:id="rId10">
        <w:r w:rsidRPr="649B7B5B">
          <w:rPr>
            <w:rStyle w:val="Hyperlink"/>
            <w:rFonts w:eastAsia="Times New Roman"/>
            <w:lang w:eastAsia="en-GB"/>
          </w:rPr>
          <w:t>samantha.powell@leeds.gov.uk</w:t>
        </w:r>
      </w:hyperlink>
      <w:r w:rsidRPr="649B7B5B">
        <w:rPr>
          <w:rFonts w:eastAsia="Times New Roman"/>
          <w:lang w:eastAsia="en-GB"/>
        </w:rPr>
        <w:t xml:space="preserve"> </w:t>
      </w:r>
    </w:p>
    <w:sectPr w:rsidR="003452D1" w:rsidRPr="00B7643D" w:rsidSect="00B7643D"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C490D"/>
    <w:multiLevelType w:val="hybridMultilevel"/>
    <w:tmpl w:val="DB5275C4"/>
    <w:lvl w:ilvl="0" w:tplc="50AEA7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  <w:color w:val="2222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109C8"/>
    <w:multiLevelType w:val="hybridMultilevel"/>
    <w:tmpl w:val="731EE9EA"/>
    <w:lvl w:ilvl="0" w:tplc="E69A22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83A18"/>
    <w:multiLevelType w:val="hybridMultilevel"/>
    <w:tmpl w:val="6DD4FAAE"/>
    <w:lvl w:ilvl="0" w:tplc="1B7234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230800">
    <w:abstractNumId w:val="0"/>
  </w:num>
  <w:num w:numId="2" w16cid:durableId="755831328">
    <w:abstractNumId w:val="2"/>
  </w:num>
  <w:num w:numId="3" w16cid:durableId="898055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71"/>
    <w:rsid w:val="00045A71"/>
    <w:rsid w:val="0006210C"/>
    <w:rsid w:val="0014361B"/>
    <w:rsid w:val="00173E9B"/>
    <w:rsid w:val="00252503"/>
    <w:rsid w:val="003452D1"/>
    <w:rsid w:val="003F480B"/>
    <w:rsid w:val="00445DAD"/>
    <w:rsid w:val="004A2299"/>
    <w:rsid w:val="004F3D00"/>
    <w:rsid w:val="00566913"/>
    <w:rsid w:val="005806B9"/>
    <w:rsid w:val="0065539E"/>
    <w:rsid w:val="00686050"/>
    <w:rsid w:val="0074486D"/>
    <w:rsid w:val="00755D37"/>
    <w:rsid w:val="00805F63"/>
    <w:rsid w:val="00831DA4"/>
    <w:rsid w:val="00861DAA"/>
    <w:rsid w:val="008D2A78"/>
    <w:rsid w:val="00B025AC"/>
    <w:rsid w:val="00B7643D"/>
    <w:rsid w:val="00DE0294"/>
    <w:rsid w:val="00F33011"/>
    <w:rsid w:val="00F714CF"/>
    <w:rsid w:val="00F91588"/>
    <w:rsid w:val="00F91ED9"/>
    <w:rsid w:val="00FE0778"/>
    <w:rsid w:val="10EE7224"/>
    <w:rsid w:val="1EDA8C2B"/>
    <w:rsid w:val="2A827AF8"/>
    <w:rsid w:val="3793FCDD"/>
    <w:rsid w:val="3EFA3B62"/>
    <w:rsid w:val="3F762666"/>
    <w:rsid w:val="5DD74B20"/>
    <w:rsid w:val="649B7B5B"/>
    <w:rsid w:val="65EE28A8"/>
    <w:rsid w:val="6D20F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B0875"/>
  <w15:chartTrackingRefBased/>
  <w15:docId w15:val="{5DE42CC5-B5DA-4348-927A-5ED4E239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A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24kjd">
    <w:name w:val="e24kjd"/>
    <w:basedOn w:val="DefaultParagraphFont"/>
    <w:rsid w:val="00045A71"/>
  </w:style>
  <w:style w:type="paragraph" w:styleId="ListParagraph">
    <w:name w:val="List Paragraph"/>
    <w:aliases w:val="Dot pt,List Paragraph1,List Paragraph11,Colorful List - Accent 11,Bullet 1,Bullet Points,MAIN CONTENT,F5 List Paragraph,No Spacing1,List Paragraph Char Char Char,Indicator Text,Numbered Para 1,List Paragraph2,Normal numbered,OBC Bullet"/>
    <w:basedOn w:val="Normal"/>
    <w:link w:val="ListParagraphChar"/>
    <w:uiPriority w:val="34"/>
    <w:qFormat/>
    <w:rsid w:val="00045A71"/>
    <w:pPr>
      <w:ind w:left="720"/>
      <w:contextualSpacing/>
    </w:pPr>
  </w:style>
  <w:style w:type="character" w:customStyle="1" w:styleId="ListParagraphChar">
    <w:name w:val="List Paragraph Char"/>
    <w:aliases w:val="Dot pt Char,List Paragraph1 Char,List Paragraph11 Char,Colorful List - Accent 11 Char,Bullet 1 Char,Bullet Points Char,MAIN CONTENT Char,F5 List Paragraph Char,No Spacing1 Char,List Paragraph Char Char Char Char,Indicator Text Char"/>
    <w:basedOn w:val="DefaultParagraphFont"/>
    <w:link w:val="ListParagraph"/>
    <w:uiPriority w:val="34"/>
    <w:locked/>
    <w:rsid w:val="003452D1"/>
  </w:style>
  <w:style w:type="character" w:styleId="Hyperlink">
    <w:name w:val="Hyperlink"/>
    <w:basedOn w:val="DefaultParagraphFont"/>
    <w:uiPriority w:val="99"/>
    <w:unhideWhenUsed/>
    <w:rsid w:val="00B764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4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F480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448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48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48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8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amantha.powell@leeds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ria.bhabra@leed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13BBE586CCB48A4483B5C73300602" ma:contentTypeVersion="19" ma:contentTypeDescription="Create a new document." ma:contentTypeScope="" ma:versionID="c7b57f52487940d45a7e2672bb87ecf0">
  <xsd:schema xmlns:xsd="http://www.w3.org/2001/XMLSchema" xmlns:xs="http://www.w3.org/2001/XMLSchema" xmlns:p="http://schemas.microsoft.com/office/2006/metadata/properties" xmlns:ns2="ac5c2849-74a1-46d7-ad44-587ab7d0a8b9" xmlns:ns3="ea74f8ca-af46-466e-8847-42b2070724b1" targetNamespace="http://schemas.microsoft.com/office/2006/metadata/properties" ma:root="true" ma:fieldsID="f42715027d220ed9f9605f0265e94ff7" ns2:_="" ns3:_="">
    <xsd:import namespace="ac5c2849-74a1-46d7-ad44-587ab7d0a8b9"/>
    <xsd:import namespace="ea74f8ca-af46-466e-8847-42b2070724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DocTag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a58ce9-c97c-41d0-bfdb-c30342169baa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4f8ca-af46-466e-8847-42b207072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4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5c2849-74a1-46d7-ad44-587ab7d0a8b9" xsi:nil="true"/>
    <lcf76f155ced4ddcb4097134ff3c332f xmlns="ea74f8ca-af46-466e-8847-42b2070724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026B4C-33F5-4B0D-BFDB-36CD8D8FF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c2849-74a1-46d7-ad44-587ab7d0a8b9"/>
    <ds:schemaRef ds:uri="ea74f8ca-af46-466e-8847-42b2070724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414E74-76D7-46D4-9A49-82F9BA4196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6EF0B9-9801-4739-9CA9-167C59BEF380}">
  <ds:schemaRefs>
    <ds:schemaRef ds:uri="http://schemas.microsoft.com/office/2006/metadata/properties"/>
    <ds:schemaRef ds:uri="http://schemas.microsoft.com/office/infopath/2007/PartnerControls"/>
    <ds:schemaRef ds:uri="ac5c2849-74a1-46d7-ad44-587ab7d0a8b9"/>
    <ds:schemaRef ds:uri="ea74f8ca-af46-466e-8847-42b2070724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Bhabra, Pria</dc:creator>
  <cp:keywords/>
  <dc:description/>
  <cp:lastModifiedBy>Powell, Samantha</cp:lastModifiedBy>
  <cp:revision>11</cp:revision>
  <dcterms:created xsi:type="dcterms:W3CDTF">2024-10-14T13:35:00Z</dcterms:created>
  <dcterms:modified xsi:type="dcterms:W3CDTF">2025-01-28T18:43:00Z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0x01010065313BBE586CCB48A4483B5C73300602</vt:lpwstr>
  </property>
  <property fmtid="{D5CDD505-2E9C-101B-9397-08002B2CF9AE}" pid="3" name="MediaServiceImageTags">
    <vt:lpwstr/>
  </property>
</Properties>
</file>